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92016">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黑体" w:hAnsi="黑体" w:eastAsia="黑体" w:cs="黑体"/>
          <w:color w:val="auto"/>
          <w:sz w:val="32"/>
          <w:szCs w:val="32"/>
          <w:highlight w:val="none"/>
          <w:lang w:val="en-US" w:eastAsia="zh-CN"/>
        </w:rPr>
      </w:pPr>
      <w:bookmarkStart w:id="2" w:name="_GoBack"/>
      <w:bookmarkEnd w:id="2"/>
      <w:r>
        <w:rPr>
          <w:rFonts w:hint="eastAsia" w:ascii="黑体" w:hAnsi="黑体" w:eastAsia="黑体" w:cs="黑体"/>
          <w:color w:val="auto"/>
          <w:sz w:val="32"/>
          <w:szCs w:val="32"/>
          <w:highlight w:val="none"/>
          <w:lang w:val="en-US" w:eastAsia="zh-CN"/>
        </w:rPr>
        <w:t>附件</w:t>
      </w:r>
    </w:p>
    <w:p w14:paraId="0C82F095">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color w:val="auto"/>
          <w:highlight w:val="none"/>
          <w:lang w:val="en-US" w:eastAsia="zh-CN"/>
        </w:rPr>
      </w:pPr>
    </w:p>
    <w:p w14:paraId="01D664B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eastAsia="zh-CN"/>
        </w:rPr>
        <w:t>武汉市</w:t>
      </w:r>
      <w:r>
        <w:rPr>
          <w:rFonts w:hint="eastAsia" w:ascii="方正小标宋简体" w:hAnsi="方正小标宋简体" w:eastAsia="方正小标宋简体" w:cs="方正小标宋简体"/>
          <w:b w:val="0"/>
          <w:bCs/>
          <w:color w:val="auto"/>
          <w:sz w:val="44"/>
          <w:szCs w:val="44"/>
          <w:highlight w:val="none"/>
        </w:rPr>
        <w:t>加快</w:t>
      </w:r>
      <w:r>
        <w:rPr>
          <w:rFonts w:hint="eastAsia" w:ascii="方正小标宋简体" w:hAnsi="方正小标宋简体" w:eastAsia="方正小标宋简体" w:cs="方正小标宋简体"/>
          <w:b w:val="0"/>
          <w:bCs/>
          <w:color w:val="auto"/>
          <w:sz w:val="44"/>
          <w:szCs w:val="44"/>
          <w:highlight w:val="none"/>
          <w:lang w:eastAsia="zh-CN"/>
        </w:rPr>
        <w:t>推进</w:t>
      </w:r>
      <w:r>
        <w:rPr>
          <w:rFonts w:hint="eastAsia" w:ascii="方正小标宋简体" w:hAnsi="方正小标宋简体" w:eastAsia="方正小标宋简体" w:cs="方正小标宋简体"/>
          <w:b w:val="0"/>
          <w:bCs/>
          <w:color w:val="auto"/>
          <w:sz w:val="44"/>
          <w:szCs w:val="44"/>
          <w:highlight w:val="none"/>
        </w:rPr>
        <w:t>数智经济高质量发展</w:t>
      </w:r>
    </w:p>
    <w:p w14:paraId="7B66B53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若干政策措施</w:t>
      </w:r>
    </w:p>
    <w:p w14:paraId="744545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lang w:eastAsia="zh-CN"/>
        </w:rPr>
        <w:t>（征求意见稿）</w:t>
      </w:r>
    </w:p>
    <w:p w14:paraId="04C7BD3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p>
    <w:p w14:paraId="4B826714">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为加快打造数智经济一线城市，结合我市实际，制定本政策措施。</w:t>
      </w:r>
    </w:p>
    <w:p w14:paraId="10DA3F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方正楷体_GBK" w:hAnsi="方正楷体_GBK" w:eastAsia="方正楷体_GBK" w:cs="方正楷体_GBK"/>
          <w:color w:val="auto"/>
          <w:sz w:val="32"/>
          <w:szCs w:val="32"/>
          <w:highlight w:val="none"/>
          <w:lang w:val="en-US" w:eastAsia="zh-CN"/>
        </w:rPr>
      </w:pPr>
      <w:bookmarkStart w:id="0" w:name="heading_0"/>
      <w:r>
        <w:rPr>
          <w:rFonts w:hint="eastAsia" w:ascii="黑体" w:hAnsi="黑体" w:eastAsia="黑体" w:cs="黑体"/>
          <w:color w:val="auto"/>
          <w:kern w:val="0"/>
          <w:sz w:val="32"/>
          <w:szCs w:val="32"/>
          <w:highlight w:val="none"/>
          <w:lang w:eastAsia="zh-CN"/>
        </w:rPr>
        <w:t>一、强化高质量数据供给。</w:t>
      </w:r>
      <w:r>
        <w:rPr>
          <w:rFonts w:hint="eastAsia" w:ascii="仿宋_GB2312" w:hAnsi="仿宋_GB2312" w:eastAsia="仿宋_GB2312" w:cs="仿宋_GB2312"/>
          <w:b w:val="0"/>
          <w:bCs w:val="0"/>
          <w:color w:val="auto"/>
          <w:kern w:val="0"/>
          <w:sz w:val="32"/>
          <w:szCs w:val="32"/>
          <w:highlight w:val="none"/>
          <w:lang w:val="en-US" w:eastAsia="zh-CN" w:bidi="ar-SA"/>
        </w:rPr>
        <w:t>每年发布一批高质量数据集建设任务专项，对完成专项建设并通过评审的组织机构，给予每个专项最高200万元奖励。对利用数据产品在人工智能科学研究、产品研发、市场推广上起到关键显著作用，且通过评审的组织机构，给予最高200万元补助。设立数据券对首次在数据流通交易平台取得数据资产登记证书且挂牌的企业给予最高10万元补贴，对通过数据流通交易平台年度数据交易额达100万元及以上的数据供方企业，按照数据交易额的5%给予奖励，同一主体年度奖励金额最高200万元。</w:t>
      </w:r>
      <w:r>
        <w:rPr>
          <w:rFonts w:hint="eastAsia" w:ascii="楷体_GB2312" w:hAnsi="楷体_GB2312" w:eastAsia="楷体_GB2312" w:cs="楷体_GB2312"/>
          <w:color w:val="auto"/>
          <w:sz w:val="32"/>
          <w:szCs w:val="32"/>
          <w:highlight w:val="none"/>
          <w:lang w:val="en-US" w:eastAsia="zh-CN"/>
        </w:rPr>
        <w:t>（责任单位：市数据局，各区人民政府）</w:t>
      </w:r>
    </w:p>
    <w:p w14:paraId="215ED4D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黑体" w:hAnsi="黑体" w:eastAsia="黑体" w:cs="黑体"/>
          <w:color w:val="auto"/>
          <w:kern w:val="0"/>
          <w:sz w:val="32"/>
          <w:szCs w:val="32"/>
          <w:highlight w:val="none"/>
          <w:lang w:eastAsia="zh-CN"/>
        </w:rPr>
        <w:t>二、支持数据要素开发利用。</w:t>
      </w:r>
      <w:r>
        <w:rPr>
          <w:rFonts w:hint="eastAsia" w:ascii="仿宋_GB2312" w:hAnsi="仿宋_GB2312" w:eastAsia="仿宋_GB2312" w:cs="仿宋_GB2312"/>
          <w:b w:val="0"/>
          <w:bCs w:val="0"/>
          <w:color w:val="auto"/>
          <w:kern w:val="0"/>
          <w:sz w:val="32"/>
          <w:szCs w:val="32"/>
          <w:highlight w:val="none"/>
          <w:lang w:val="en-US" w:eastAsia="zh-CN" w:bidi="ar-SA"/>
        </w:rPr>
        <w:t>探索以计价免费等方式鼓励各类社会主体参与公共数据资源开发利用。实施“数据要素×”行动，支持企业面向重点行业数字化转型、产业链供应链数字化协同、新兴产业发展等需要，创新数智应用新产品新服务新模式，每年遴选一批多元数据融合开发利用项目，按照项目总投入的30%给予最高100万元资金支持。支持企业打造“人工智能+数据”生态体系，培育引进一批技术型和服务型数商，对开展数据采集、清洗、标注、测试等业务的技术型数商，对年度专业服务业务收入超过500万元且示范效应明显的企业，按实际服务总额5%给予最高50万元奖励，对开展合规认证、质量评价、资产评估等业务的服务型数商，对年度专业服务累计超100万元的第三方数据服务机构，按实际服务金额10%给予最高50万元奖励。</w:t>
      </w:r>
      <w:r>
        <w:rPr>
          <w:rFonts w:hint="eastAsia" w:ascii="楷体_GB2312" w:hAnsi="楷体_GB2312" w:eastAsia="楷体_GB2312" w:cs="楷体_GB2312"/>
          <w:color w:val="auto"/>
          <w:sz w:val="32"/>
          <w:szCs w:val="32"/>
          <w:highlight w:val="none"/>
          <w:lang w:val="en-US" w:eastAsia="zh-CN"/>
        </w:rPr>
        <w:t>（责任单位：市数据局）</w:t>
      </w:r>
    </w:p>
    <w:bookmarkEnd w:id="0"/>
    <w:p w14:paraId="2581B1C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方正楷体_GBK" w:hAnsi="方正楷体_GBK" w:eastAsia="方正楷体_GBK" w:cs="方正楷体_GBK"/>
          <w:color w:val="auto"/>
          <w:sz w:val="32"/>
          <w:szCs w:val="32"/>
          <w:highlight w:val="none"/>
          <w:lang w:val="en-US" w:eastAsia="zh-CN"/>
        </w:rPr>
      </w:pPr>
      <w:bookmarkStart w:id="1" w:name="heading_1"/>
      <w:r>
        <w:rPr>
          <w:rFonts w:hint="eastAsia" w:ascii="黑体" w:hAnsi="黑体" w:eastAsia="黑体" w:cs="黑体"/>
          <w:color w:val="auto"/>
          <w:kern w:val="0"/>
          <w:sz w:val="32"/>
          <w:szCs w:val="32"/>
          <w:highlight w:val="none"/>
          <w:lang w:eastAsia="zh-CN"/>
        </w:rPr>
        <w:t>三、夯实普惠高效算力支撑。</w:t>
      </w:r>
      <w:r>
        <w:rPr>
          <w:rFonts w:hint="eastAsia" w:ascii="仿宋_GB2312" w:hAnsi="仿宋_GB2312" w:eastAsia="仿宋_GB2312" w:cs="仿宋_GB2312"/>
          <w:b w:val="0"/>
          <w:bCs w:val="0"/>
          <w:color w:val="auto"/>
          <w:kern w:val="0"/>
          <w:sz w:val="32"/>
          <w:szCs w:val="32"/>
          <w:highlight w:val="none"/>
          <w:lang w:val="en-US" w:eastAsia="zh-CN" w:bidi="ar-SA"/>
        </w:rPr>
        <w:t>支持社会资本合规建设智算中心，灵活部署边缘计算中心。加强引算入汉，按需建设跨区域算力高速直连网络，鼓励企业通过合作建设、租用等模式引入绿电资源丰富地区的智算算力。支持武汉算力公共服务平台接入跨域异构算力资源，加快融入全国一体化算力网。设立算力服务券支持中小企业购买算力服务，对企业使用算力服务费用给予50%最高20万元补助，补助期限不超过三年。每年遴选一批性能先进垂直行业模型，对牵头研发单位使用算力服务费用的50%给予最长三年、累计最高500万元补助。鼓励国有重大算力基础设施以优惠价格提供算力服务，降低企业用算成本。</w:t>
      </w:r>
      <w:r>
        <w:rPr>
          <w:rFonts w:hint="eastAsia" w:ascii="楷体_GB2312" w:hAnsi="楷体_GB2312" w:eastAsia="楷体_GB2312" w:cs="楷体_GB2312"/>
          <w:color w:val="auto"/>
          <w:sz w:val="32"/>
          <w:szCs w:val="32"/>
          <w:highlight w:val="none"/>
          <w:lang w:val="en-US" w:eastAsia="zh-CN"/>
        </w:rPr>
        <w:t>（责任单位：市数据局、市经信局、市通管局，武汉投控集团，各区人民政府）</w:t>
      </w:r>
    </w:p>
    <w:bookmarkEnd w:id="1"/>
    <w:p w14:paraId="70C6FA3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rPr>
        <w:t>四</w:t>
      </w:r>
      <w:r>
        <w:rPr>
          <w:rFonts w:hint="eastAsia" w:ascii="黑体" w:hAnsi="黑体" w:eastAsia="黑体" w:cs="黑体"/>
          <w:color w:val="auto"/>
          <w:kern w:val="0"/>
          <w:sz w:val="32"/>
          <w:szCs w:val="32"/>
          <w:highlight w:val="none"/>
          <w:lang w:eastAsia="zh-CN"/>
        </w:rPr>
        <w:t>、加强数智科产融合。</w:t>
      </w:r>
      <w:r>
        <w:rPr>
          <w:rFonts w:hint="eastAsia" w:ascii="仿宋_GB2312" w:hAnsi="仿宋_GB2312" w:eastAsia="仿宋_GB2312" w:cs="仿宋_GB2312"/>
          <w:b w:val="0"/>
          <w:bCs w:val="0"/>
          <w:color w:val="auto"/>
          <w:kern w:val="0"/>
          <w:sz w:val="32"/>
          <w:szCs w:val="32"/>
          <w:highlight w:val="none"/>
          <w:lang w:val="en-US" w:eastAsia="zh-CN" w:bidi="ar-SA"/>
        </w:rPr>
        <w:t>支持数智经济领域基础性、前沿性、原创性技术创新，每年安排不低于50%科技研发资金支持数智经济发展。聚焦数智经济发展的关键核心技术，组织实施市级科技重大专项，根据项目投入、实施难度、实施成效等情况，给予单个项目最高2000万元资金支持。</w:t>
      </w:r>
      <w:r>
        <w:rPr>
          <w:rFonts w:hint="eastAsia" w:ascii="楷体_GB2312" w:hAnsi="楷体_GB2312" w:eastAsia="楷体_GB2312" w:cs="楷体_GB2312"/>
          <w:color w:val="auto"/>
          <w:sz w:val="32"/>
          <w:szCs w:val="32"/>
          <w:highlight w:val="none"/>
          <w:lang w:val="en-US" w:eastAsia="zh-CN"/>
        </w:rPr>
        <w:t>（责任单位：市科创局）</w:t>
      </w:r>
      <w:r>
        <w:rPr>
          <w:rFonts w:hint="eastAsia" w:ascii="仿宋_GB2312" w:hAnsi="仿宋_GB2312" w:eastAsia="仿宋_GB2312" w:cs="仿宋_GB2312"/>
          <w:b w:val="0"/>
          <w:bCs w:val="0"/>
          <w:color w:val="auto"/>
          <w:kern w:val="0"/>
          <w:sz w:val="32"/>
          <w:szCs w:val="32"/>
          <w:highlight w:val="none"/>
          <w:lang w:val="en-US" w:eastAsia="zh-CN" w:bidi="ar-SA"/>
        </w:rPr>
        <w:t>支持数智经济领域企业牵头组建产业创新联合实验室，给予每个联合实验室每年2000万元经费支持，支持周期为3年。支持武汉产业创新发展研究院采取拨转股、共同出资、股权直投、基金投资等方式建设数智经济领域专业研究所、企业联合创新中心等创新单元。</w:t>
      </w:r>
      <w:r>
        <w:rPr>
          <w:rFonts w:hint="eastAsia" w:ascii="楷体_GB2312" w:hAnsi="楷体_GB2312" w:eastAsia="楷体_GB2312" w:cs="楷体_GB2312"/>
          <w:color w:val="auto"/>
          <w:sz w:val="32"/>
          <w:szCs w:val="32"/>
          <w:highlight w:val="none"/>
          <w:lang w:val="en-US" w:eastAsia="zh-CN"/>
        </w:rPr>
        <w:t>（责任单位：市科创局、市经信局，武汉产业创新研究院）</w:t>
      </w:r>
    </w:p>
    <w:p w14:paraId="4EA37EB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黑体" w:hAnsi="黑体" w:eastAsia="黑体" w:cs="黑体"/>
          <w:color w:val="auto"/>
          <w:kern w:val="0"/>
          <w:sz w:val="32"/>
          <w:szCs w:val="32"/>
          <w:highlight w:val="none"/>
          <w:lang w:val="en-US" w:eastAsia="zh-CN"/>
        </w:rPr>
        <w:t>五、培育智能原生企业。</w:t>
      </w:r>
      <w:r>
        <w:rPr>
          <w:rFonts w:hint="eastAsia" w:ascii="仿宋_GB2312" w:hAnsi="仿宋_GB2312" w:eastAsia="仿宋_GB2312" w:cs="仿宋_GB2312"/>
          <w:b w:val="0"/>
          <w:bCs w:val="0"/>
          <w:color w:val="auto"/>
          <w:kern w:val="0"/>
          <w:sz w:val="32"/>
          <w:szCs w:val="32"/>
          <w:highlight w:val="none"/>
          <w:lang w:val="en-US" w:eastAsia="zh-CN" w:bidi="ar-SA"/>
        </w:rPr>
        <w:t>梯次培育一批底层架构和运行逻辑基于人工智能的智能原生企业，对首次认定、重新认定的智能原生高新技术企业，首次“进规”和获评专精特新“小巨人”的智能原生企业，按照有关政策给予奖励。</w:t>
      </w:r>
      <w:r>
        <w:rPr>
          <w:rFonts w:hint="eastAsia" w:ascii="楷体_GB2312" w:hAnsi="楷体_GB2312" w:eastAsia="楷体_GB2312" w:cs="楷体_GB2312"/>
          <w:color w:val="auto"/>
          <w:sz w:val="32"/>
          <w:szCs w:val="32"/>
          <w:highlight w:val="none"/>
          <w:lang w:val="en-US" w:eastAsia="zh-CN"/>
        </w:rPr>
        <w:t>（责任单位：市科创局、市经信局）</w:t>
      </w:r>
      <w:r>
        <w:rPr>
          <w:rFonts w:hint="eastAsia" w:ascii="仿宋_GB2312" w:hAnsi="仿宋_GB2312" w:eastAsia="仿宋_GB2312" w:cs="仿宋_GB2312"/>
          <w:b w:val="0"/>
          <w:bCs w:val="0"/>
          <w:color w:val="auto"/>
          <w:kern w:val="0"/>
          <w:sz w:val="32"/>
          <w:szCs w:val="32"/>
          <w:highlight w:val="none"/>
          <w:lang w:val="en-US" w:eastAsia="zh-CN" w:bidi="ar-SA"/>
        </w:rPr>
        <w:t>支持企业开发并推广基于人工智能的软件产品或解决方案，入选武汉市优秀开源软件项目的，给予30万元一次性奖励。</w:t>
      </w:r>
      <w:r>
        <w:rPr>
          <w:rFonts w:hint="eastAsia" w:ascii="楷体_GB2312" w:hAnsi="楷体_GB2312" w:eastAsia="楷体_GB2312" w:cs="楷体_GB2312"/>
          <w:color w:val="auto"/>
          <w:sz w:val="32"/>
          <w:szCs w:val="32"/>
          <w:highlight w:val="none"/>
          <w:lang w:val="en-US" w:eastAsia="zh-CN"/>
        </w:rPr>
        <w:t>（责任单位：市经信局）</w:t>
      </w:r>
      <w:r>
        <w:rPr>
          <w:rFonts w:hint="eastAsia" w:ascii="仿宋_GB2312" w:hAnsi="仿宋_GB2312" w:eastAsia="仿宋_GB2312" w:cs="仿宋_GB2312"/>
          <w:b w:val="0"/>
          <w:bCs w:val="0"/>
          <w:color w:val="auto"/>
          <w:kern w:val="0"/>
          <w:sz w:val="32"/>
          <w:szCs w:val="32"/>
          <w:highlight w:val="none"/>
          <w:lang w:val="en-US" w:eastAsia="zh-CN" w:bidi="ar-SA"/>
        </w:rPr>
        <w:t>支持企业建设数智经济领域专业型孵化器，对年度绩效评价为优秀等次的孵化器予以财政资金补助。</w:t>
      </w:r>
      <w:r>
        <w:rPr>
          <w:rFonts w:hint="eastAsia" w:ascii="楷体_GB2312" w:hAnsi="楷体_GB2312" w:eastAsia="楷体_GB2312" w:cs="楷体_GB2312"/>
          <w:color w:val="auto"/>
          <w:sz w:val="32"/>
          <w:szCs w:val="32"/>
          <w:highlight w:val="none"/>
          <w:lang w:val="en-US" w:eastAsia="zh-CN"/>
        </w:rPr>
        <w:t>（责任单位：市科创局）</w:t>
      </w:r>
      <w:r>
        <w:rPr>
          <w:rFonts w:hint="eastAsia" w:ascii="仿宋_GB2312" w:hAnsi="仿宋_GB2312" w:eastAsia="仿宋_GB2312" w:cs="仿宋_GB2312"/>
          <w:b w:val="0"/>
          <w:bCs w:val="0"/>
          <w:color w:val="auto"/>
          <w:kern w:val="0"/>
          <w:sz w:val="32"/>
          <w:szCs w:val="32"/>
          <w:highlight w:val="none"/>
          <w:lang w:val="en-US" w:eastAsia="zh-CN" w:bidi="ar-SA"/>
        </w:rPr>
        <w:t>支持人工智能领域人才在汉创办OPC，综合评定其经营发展、技术创新情况，给予初创企业最高100万元的创业资助。</w:t>
      </w:r>
      <w:r>
        <w:rPr>
          <w:rFonts w:hint="eastAsia" w:ascii="楷体_GB2312" w:hAnsi="楷体_GB2312" w:eastAsia="楷体_GB2312" w:cs="楷体_GB2312"/>
          <w:color w:val="auto"/>
          <w:sz w:val="32"/>
          <w:szCs w:val="32"/>
          <w:highlight w:val="none"/>
          <w:lang w:val="en-US" w:eastAsia="zh-CN"/>
        </w:rPr>
        <w:t>（责任单位：市人才工作局）</w:t>
      </w:r>
    </w:p>
    <w:p w14:paraId="187F946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方正楷体_GBK" w:hAnsi="方正楷体_GBK" w:eastAsia="方正楷体_GBK" w:cs="方正楷体_GBK"/>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rPr>
        <w:t>六、构建城市智能体生态。</w:t>
      </w:r>
      <w:r>
        <w:rPr>
          <w:rFonts w:hint="eastAsia" w:ascii="仿宋_GB2312" w:hAnsi="仿宋_GB2312" w:eastAsia="仿宋_GB2312" w:cs="仿宋_GB2312"/>
          <w:b w:val="0"/>
          <w:bCs w:val="0"/>
          <w:color w:val="auto"/>
          <w:kern w:val="0"/>
          <w:sz w:val="32"/>
          <w:szCs w:val="32"/>
          <w:highlight w:val="none"/>
          <w:lang w:val="en-US" w:eastAsia="zh-CN" w:bidi="ar-SA"/>
        </w:rPr>
        <w:t>激励智能体创新，鼓励各类创新主体攻关智能体高效开发框架。围绕电子信息制造、工业质检、教育、医疗、遥感、文创、金融等领域每年遴选一批性能先进的垂直行业模型，对牵头研发单位按照研发成本的30%给予最高500万元补助。设立模型券支持企业通过调用第三方大模型API（应用程序编程接口）或者采用本地化部署等方式，开展智能体开发，依规按照不超过模型采购费用的50％给予最高100万元补助。支持智能体赋能智能工厂建设，对首次获批的卓越级智能工厂、领航级智能工厂给予100万元奖励。</w:t>
      </w:r>
      <w:r>
        <w:rPr>
          <w:rFonts w:hint="eastAsia" w:ascii="楷体_GB2312" w:hAnsi="楷体_GB2312" w:eastAsia="楷体_GB2312" w:cs="楷体_GB2312"/>
          <w:color w:val="auto"/>
          <w:sz w:val="32"/>
          <w:szCs w:val="32"/>
          <w:highlight w:val="none"/>
          <w:lang w:val="en-US" w:eastAsia="zh-CN"/>
        </w:rPr>
        <w:t>（责任单位：市经信局）</w:t>
      </w:r>
      <w:r>
        <w:rPr>
          <w:rFonts w:hint="eastAsia" w:ascii="仿宋_GB2312" w:hAnsi="仿宋_GB2312" w:eastAsia="仿宋_GB2312" w:cs="仿宋_GB2312"/>
          <w:b w:val="0"/>
          <w:bCs w:val="0"/>
          <w:color w:val="auto"/>
          <w:kern w:val="0"/>
          <w:sz w:val="32"/>
          <w:szCs w:val="32"/>
          <w:highlight w:val="none"/>
          <w:lang w:val="en-US" w:eastAsia="zh-CN" w:bidi="ar-SA"/>
        </w:rPr>
        <w:t>围绕政务服务、民生保障、社会治理、涉江治水等领域开发城市智能体，提升城市全域数智水平。</w:t>
      </w:r>
      <w:r>
        <w:rPr>
          <w:rFonts w:hint="eastAsia" w:ascii="楷体_GB2312" w:hAnsi="楷体_GB2312" w:eastAsia="楷体_GB2312" w:cs="楷体_GB2312"/>
          <w:color w:val="auto"/>
          <w:sz w:val="32"/>
          <w:szCs w:val="32"/>
          <w:highlight w:val="none"/>
          <w:lang w:val="en-US" w:eastAsia="zh-CN"/>
        </w:rPr>
        <w:t>（责任单位：市数据局，各区人民政府）</w:t>
      </w:r>
    </w:p>
    <w:p w14:paraId="14B2553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rPr>
        <w:t>七、拓展数智应用场景。</w:t>
      </w:r>
      <w:r>
        <w:rPr>
          <w:rFonts w:hint="eastAsia" w:ascii="仿宋_GB2312" w:hAnsi="仿宋_GB2312" w:eastAsia="仿宋_GB2312" w:cs="仿宋_GB2312"/>
          <w:b w:val="0"/>
          <w:bCs w:val="0"/>
          <w:color w:val="auto"/>
          <w:kern w:val="0"/>
          <w:sz w:val="32"/>
          <w:szCs w:val="32"/>
          <w:highlight w:val="none"/>
          <w:lang w:val="en-US" w:eastAsia="zh-CN" w:bidi="ar-SA"/>
        </w:rPr>
        <w:t>鼓励行业部门、国有企事业单位在科技研发、产业发展、消费、民生、城市治理等领域开放数智经济应用场景，建立常态化场景供需对接机制，定期发布场景机会清单和场景能力清单，形成新场景“发布—应用—反馈—优化”良性循环。</w:t>
      </w:r>
      <w:r>
        <w:rPr>
          <w:rFonts w:hint="eastAsia" w:ascii="楷体_GB2312" w:hAnsi="楷体_GB2312" w:eastAsia="楷体_GB2312" w:cs="楷体_GB2312"/>
          <w:color w:val="auto"/>
          <w:sz w:val="32"/>
          <w:szCs w:val="32"/>
          <w:highlight w:val="none"/>
          <w:lang w:val="en-US" w:eastAsia="zh-CN"/>
        </w:rPr>
        <w:t>（责任单位：市发改委、市数据局、市经信局、市政府国资委）</w:t>
      </w:r>
      <w:r>
        <w:rPr>
          <w:rFonts w:hint="eastAsia" w:ascii="仿宋_GB2312" w:hAnsi="仿宋_GB2312" w:eastAsia="仿宋_GB2312" w:cs="仿宋_GB2312"/>
          <w:b w:val="0"/>
          <w:bCs w:val="0"/>
          <w:color w:val="auto"/>
          <w:kern w:val="0"/>
          <w:sz w:val="32"/>
          <w:szCs w:val="32"/>
          <w:highlight w:val="none"/>
          <w:lang w:val="en-US" w:eastAsia="zh-CN" w:bidi="ar-SA"/>
        </w:rPr>
        <w:t>策划一批跨区域跨领域的城市超级场景，对具有引领带动数智产业发展作用的多跨场景优先推荐申报国家、省综合性重大场景。</w:t>
      </w:r>
      <w:r>
        <w:rPr>
          <w:rFonts w:hint="eastAsia" w:ascii="楷体_GB2312" w:hAnsi="楷体_GB2312" w:eastAsia="楷体_GB2312" w:cs="楷体_GB2312"/>
          <w:color w:val="auto"/>
          <w:sz w:val="32"/>
          <w:szCs w:val="32"/>
          <w:highlight w:val="none"/>
          <w:lang w:val="en-US" w:eastAsia="zh-CN"/>
        </w:rPr>
        <w:t>（责任单位：市发改委、市科创局、市经信局、市政府国资委，各区人民政府）</w:t>
      </w:r>
      <w:r>
        <w:rPr>
          <w:rFonts w:hint="eastAsia" w:ascii="仿宋_GB2312" w:hAnsi="仿宋_GB2312" w:eastAsia="仿宋_GB2312" w:cs="仿宋_GB2312"/>
          <w:b w:val="0"/>
          <w:bCs w:val="0"/>
          <w:color w:val="auto"/>
          <w:kern w:val="0"/>
          <w:sz w:val="32"/>
          <w:szCs w:val="32"/>
          <w:highlight w:val="none"/>
          <w:lang w:val="en-US" w:eastAsia="zh-CN" w:bidi="ar-SA"/>
        </w:rPr>
        <w:t>支持数智新技术新产品新场景产业化规模化应用，对首台重大技术装备、首批次新材料、首版次软件、首轮次工程流片芯片择优给予单个项目最高1000万元支持。</w:t>
      </w:r>
      <w:r>
        <w:rPr>
          <w:rFonts w:hint="eastAsia" w:ascii="楷体_GB2312" w:hAnsi="楷体_GB2312" w:eastAsia="楷体_GB2312" w:cs="楷体_GB2312"/>
          <w:color w:val="auto"/>
          <w:sz w:val="32"/>
          <w:szCs w:val="32"/>
          <w:highlight w:val="none"/>
          <w:lang w:val="en-US" w:eastAsia="zh-CN"/>
        </w:rPr>
        <w:t>（责任单位：市经信局，各区人民政府）</w:t>
      </w:r>
      <w:r>
        <w:rPr>
          <w:rFonts w:hint="eastAsia" w:ascii="仿宋_GB2312" w:hAnsi="仿宋_GB2312" w:eastAsia="仿宋_GB2312" w:cs="仿宋_GB2312"/>
          <w:b w:val="0"/>
          <w:bCs w:val="0"/>
          <w:color w:val="auto"/>
          <w:kern w:val="0"/>
          <w:sz w:val="32"/>
          <w:szCs w:val="32"/>
          <w:highlight w:val="none"/>
          <w:lang w:val="en-US" w:eastAsia="zh-CN" w:bidi="ar-SA"/>
        </w:rPr>
        <w:t>强化企业场景创新主体作用，每年遴选一批人工智能示范应用场景项目，按照项目总投入资金给予30%最高100万元资金支持。</w:t>
      </w:r>
      <w:r>
        <w:rPr>
          <w:rFonts w:hint="eastAsia" w:ascii="楷体_GB2312" w:hAnsi="楷体_GB2312" w:eastAsia="楷体_GB2312" w:cs="楷体_GB2312"/>
          <w:color w:val="auto"/>
          <w:sz w:val="32"/>
          <w:szCs w:val="32"/>
          <w:highlight w:val="none"/>
          <w:lang w:val="en-US" w:eastAsia="zh-CN"/>
        </w:rPr>
        <w:t>（责任单位：市经信局）</w:t>
      </w:r>
    </w:p>
    <w:p w14:paraId="01E3AC2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方正楷体_GBK" w:hAnsi="方正楷体_GBK" w:eastAsia="方正楷体_GBK" w:cs="方正楷体_GBK"/>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rPr>
        <w:t>八、推动数智产业集聚。</w:t>
      </w:r>
      <w:r>
        <w:rPr>
          <w:rFonts w:hint="eastAsia" w:ascii="仿宋_GB2312" w:hAnsi="仿宋_GB2312" w:eastAsia="仿宋_GB2312" w:cs="仿宋_GB2312"/>
          <w:b w:val="0"/>
          <w:bCs w:val="0"/>
          <w:color w:val="auto"/>
          <w:kern w:val="0"/>
          <w:sz w:val="32"/>
          <w:szCs w:val="32"/>
          <w:highlight w:val="none"/>
          <w:lang w:val="en-US" w:eastAsia="zh-CN" w:bidi="ar-SA"/>
        </w:rPr>
        <w:t>支持各区加快建设智能产业集群，对获批数智经济领域国家级中小企业产业集群的，给予所在区500万元奖励，单个区不超过1000万元。</w:t>
      </w:r>
      <w:r>
        <w:rPr>
          <w:rFonts w:hint="eastAsia" w:ascii="楷体_GB2312" w:hAnsi="楷体_GB2312" w:eastAsia="楷体_GB2312" w:cs="楷体_GB2312"/>
          <w:color w:val="auto"/>
          <w:sz w:val="32"/>
          <w:szCs w:val="32"/>
          <w:highlight w:val="none"/>
          <w:lang w:val="en-US" w:eastAsia="zh-CN"/>
        </w:rPr>
        <w:t>（责任单位：市经信局，各区人民政府）</w:t>
      </w:r>
      <w:r>
        <w:rPr>
          <w:rFonts w:hint="eastAsia" w:ascii="仿宋_GB2312" w:hAnsi="仿宋_GB2312" w:eastAsia="仿宋_GB2312" w:cs="仿宋_GB2312"/>
          <w:b w:val="0"/>
          <w:bCs w:val="0"/>
          <w:color w:val="auto"/>
          <w:kern w:val="0"/>
          <w:sz w:val="32"/>
          <w:szCs w:val="32"/>
          <w:highlight w:val="none"/>
          <w:lang w:val="en-US" w:eastAsia="zh-CN" w:bidi="ar-SA"/>
        </w:rPr>
        <w:t>对获评国家级、省级数据产业集聚区的核心园区，获评国家级、省级数据标注产业园（基地）、数据要素产业园的，分别按照国家级500万元、省级100万元对运营主体给予奖励。</w:t>
      </w:r>
      <w:r>
        <w:rPr>
          <w:rFonts w:hint="eastAsia" w:ascii="楷体_GB2312" w:hAnsi="楷体_GB2312" w:eastAsia="楷体_GB2312" w:cs="楷体_GB2312"/>
          <w:color w:val="auto"/>
          <w:sz w:val="32"/>
          <w:szCs w:val="32"/>
          <w:highlight w:val="none"/>
          <w:lang w:val="en-US" w:eastAsia="zh-CN"/>
        </w:rPr>
        <w:t>（责任单位：市数据局）</w:t>
      </w:r>
      <w:r>
        <w:rPr>
          <w:rFonts w:hint="eastAsia" w:ascii="仿宋_GB2312" w:hAnsi="仿宋_GB2312" w:eastAsia="仿宋_GB2312" w:cs="仿宋_GB2312"/>
          <w:b w:val="0"/>
          <w:bCs w:val="0"/>
          <w:color w:val="auto"/>
          <w:kern w:val="0"/>
          <w:sz w:val="32"/>
          <w:szCs w:val="32"/>
          <w:highlight w:val="none"/>
          <w:lang w:val="en-US" w:eastAsia="zh-CN" w:bidi="ar-SA"/>
        </w:rPr>
        <w:t>结合城市更新拓展数智产业创新发展空间，发展硅巷经济，为数智企业用数、用云、用电、用地等提供便利。</w:t>
      </w:r>
      <w:r>
        <w:rPr>
          <w:rFonts w:hint="eastAsia" w:ascii="楷体_GB2312" w:hAnsi="楷体_GB2312" w:eastAsia="楷体_GB2312" w:cs="楷体_GB2312"/>
          <w:color w:val="auto"/>
          <w:sz w:val="32"/>
          <w:szCs w:val="32"/>
          <w:highlight w:val="none"/>
          <w:lang w:val="en-US" w:eastAsia="zh-CN"/>
        </w:rPr>
        <w:t>（责任单位：市住更局、市发改委、市数据局、市经信局、市资建局，各区人民政府）</w:t>
      </w:r>
      <w:r>
        <w:rPr>
          <w:rFonts w:hint="eastAsia" w:ascii="仿宋_GB2312" w:hAnsi="仿宋_GB2312" w:eastAsia="仿宋_GB2312" w:cs="仿宋_GB2312"/>
          <w:b w:val="0"/>
          <w:bCs w:val="0"/>
          <w:color w:val="auto"/>
          <w:kern w:val="0"/>
          <w:sz w:val="32"/>
          <w:szCs w:val="32"/>
          <w:highlight w:val="none"/>
          <w:lang w:val="en-US" w:eastAsia="zh-CN" w:bidi="ar-SA"/>
        </w:rPr>
        <w:t>建设一批OPC生态社区，对符合标准的生态社区依规给予最高500万元资金支持。</w:t>
      </w:r>
      <w:r>
        <w:rPr>
          <w:rFonts w:hint="eastAsia" w:ascii="楷体_GB2312" w:hAnsi="楷体_GB2312" w:eastAsia="楷体_GB2312" w:cs="楷体_GB2312"/>
          <w:color w:val="auto"/>
          <w:sz w:val="32"/>
          <w:szCs w:val="32"/>
          <w:highlight w:val="none"/>
          <w:lang w:val="en-US" w:eastAsia="zh-CN"/>
        </w:rPr>
        <w:t>（责任单位：市科创局）</w:t>
      </w:r>
    </w:p>
    <w:p w14:paraId="7BF4DB5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方正楷体_GBK" w:hAnsi="方正楷体_GBK" w:eastAsia="方正楷体_GBK" w:cs="方正楷体_GBK"/>
          <w:color w:val="auto"/>
          <w:sz w:val="32"/>
          <w:szCs w:val="32"/>
          <w:highlight w:val="none"/>
          <w:lang w:val="en-US" w:eastAsia="zh-CN"/>
        </w:rPr>
      </w:pPr>
      <w:r>
        <w:rPr>
          <w:rFonts w:hint="eastAsia" w:ascii="黑体" w:hAnsi="黑体" w:eastAsia="黑体" w:cs="黑体"/>
          <w:color w:val="auto"/>
          <w:kern w:val="0"/>
          <w:sz w:val="32"/>
          <w:szCs w:val="32"/>
          <w:highlight w:val="none"/>
          <w:lang w:eastAsia="zh-CN"/>
        </w:rPr>
        <w:t>九</w:t>
      </w:r>
      <w:r>
        <w:rPr>
          <w:rFonts w:hint="eastAsia" w:ascii="黑体" w:hAnsi="黑体" w:eastAsia="黑体" w:cs="黑体"/>
          <w:color w:val="auto"/>
          <w:kern w:val="0"/>
          <w:sz w:val="32"/>
          <w:szCs w:val="32"/>
          <w:highlight w:val="none"/>
          <w:lang w:val="en-US" w:eastAsia="zh-CN"/>
        </w:rPr>
        <w:t>、</w:t>
      </w:r>
      <w:r>
        <w:rPr>
          <w:rFonts w:hint="eastAsia" w:ascii="黑体" w:hAnsi="黑体" w:eastAsia="黑体" w:cs="黑体"/>
          <w:color w:val="auto"/>
          <w:kern w:val="0"/>
          <w:sz w:val="32"/>
          <w:szCs w:val="32"/>
          <w:highlight w:val="none"/>
          <w:lang w:eastAsia="zh-CN"/>
        </w:rPr>
        <w:t>引育</w:t>
      </w:r>
      <w:r>
        <w:rPr>
          <w:rFonts w:hint="eastAsia" w:ascii="黑体" w:hAnsi="黑体" w:eastAsia="黑体" w:cs="黑体"/>
          <w:color w:val="auto"/>
          <w:kern w:val="0"/>
          <w:sz w:val="32"/>
          <w:szCs w:val="32"/>
          <w:highlight w:val="none"/>
          <w:lang w:val="en-US" w:eastAsia="zh-CN"/>
        </w:rPr>
        <w:t>数智</w:t>
      </w:r>
      <w:r>
        <w:rPr>
          <w:rFonts w:hint="eastAsia" w:ascii="黑体" w:hAnsi="黑体" w:eastAsia="黑体" w:cs="黑体"/>
          <w:color w:val="auto"/>
          <w:kern w:val="0"/>
          <w:sz w:val="32"/>
          <w:szCs w:val="32"/>
          <w:highlight w:val="none"/>
          <w:lang w:eastAsia="zh-CN"/>
        </w:rPr>
        <w:t>人才。</w:t>
      </w:r>
      <w:r>
        <w:rPr>
          <w:rFonts w:hint="eastAsia" w:ascii="仿宋_GB2312" w:hAnsi="仿宋_GB2312" w:eastAsia="仿宋_GB2312" w:cs="仿宋_GB2312"/>
          <w:b w:val="0"/>
          <w:bCs w:val="0"/>
          <w:color w:val="auto"/>
          <w:kern w:val="0"/>
          <w:sz w:val="32"/>
          <w:szCs w:val="32"/>
          <w:highlight w:val="none"/>
          <w:lang w:val="en-US" w:eastAsia="zh-CN" w:bidi="ar-SA"/>
        </w:rPr>
        <w:t>聚焦数智企业引才需求，组织开展专项引才活动，定期发布高薪优岗，引导企业大力引进数智领域人才。支持数智经济企业推荐优秀人才申报武汉英才计划，按政策为入选人才拨付资助资金，提供交通出行、优诊优疗等服务保障。</w:t>
      </w:r>
      <w:r>
        <w:rPr>
          <w:rFonts w:hint="eastAsia" w:ascii="楷体_GB2312" w:hAnsi="楷体_GB2312" w:eastAsia="楷体_GB2312" w:cs="楷体_GB2312"/>
          <w:color w:val="auto"/>
          <w:sz w:val="32"/>
          <w:szCs w:val="32"/>
          <w:highlight w:val="none"/>
          <w:lang w:val="en-US" w:eastAsia="zh-CN"/>
        </w:rPr>
        <w:t>（责任单位：市人才工作局、市人社局）</w:t>
      </w:r>
      <w:r>
        <w:rPr>
          <w:rFonts w:hint="eastAsia" w:ascii="仿宋_GB2312" w:hAnsi="仿宋_GB2312" w:eastAsia="仿宋_GB2312" w:cs="仿宋_GB2312"/>
          <w:b w:val="0"/>
          <w:bCs w:val="0"/>
          <w:color w:val="auto"/>
          <w:kern w:val="0"/>
          <w:sz w:val="32"/>
          <w:szCs w:val="32"/>
          <w:highlight w:val="none"/>
          <w:lang w:val="en-US" w:eastAsia="zh-CN" w:bidi="ar-SA"/>
        </w:rPr>
        <w:t>推动产教深度融合，培养兼具专业能力和数智素养的复合型人才。</w:t>
      </w:r>
      <w:r>
        <w:rPr>
          <w:rFonts w:hint="eastAsia" w:ascii="楷体_GB2312" w:hAnsi="楷体_GB2312" w:eastAsia="楷体_GB2312" w:cs="楷体_GB2312"/>
          <w:color w:val="auto"/>
          <w:sz w:val="32"/>
          <w:szCs w:val="32"/>
          <w:highlight w:val="none"/>
          <w:lang w:val="en-US" w:eastAsia="zh-CN"/>
        </w:rPr>
        <w:t>（责任单位：市教育局、市人社局）</w:t>
      </w:r>
      <w:r>
        <w:rPr>
          <w:rFonts w:hint="eastAsia" w:ascii="仿宋_GB2312" w:hAnsi="仿宋_GB2312" w:eastAsia="仿宋_GB2312" w:cs="仿宋_GB2312"/>
          <w:b w:val="0"/>
          <w:bCs w:val="0"/>
          <w:color w:val="auto"/>
          <w:kern w:val="0"/>
          <w:sz w:val="32"/>
          <w:szCs w:val="32"/>
          <w:highlight w:val="none"/>
          <w:lang w:val="en-US" w:eastAsia="zh-CN" w:bidi="ar-SA"/>
        </w:rPr>
        <w:t>支持企业设立“首席数据官”，定期组织开展首席数据官研修班等活动。</w:t>
      </w:r>
      <w:r>
        <w:rPr>
          <w:rFonts w:hint="eastAsia" w:ascii="楷体_GB2312" w:hAnsi="楷体_GB2312" w:eastAsia="楷体_GB2312" w:cs="楷体_GB2312"/>
          <w:color w:val="auto"/>
          <w:sz w:val="32"/>
          <w:szCs w:val="32"/>
          <w:highlight w:val="none"/>
          <w:lang w:val="en-US" w:eastAsia="zh-CN"/>
        </w:rPr>
        <w:t>（责任单位：市数据局）</w:t>
      </w:r>
    </w:p>
    <w:p w14:paraId="19161B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黑体" w:hAnsi="黑体" w:eastAsia="黑体" w:cs="黑体"/>
          <w:color w:val="auto"/>
          <w:kern w:val="0"/>
          <w:sz w:val="32"/>
          <w:szCs w:val="32"/>
          <w:highlight w:val="none"/>
          <w:lang w:eastAsia="zh-CN"/>
        </w:rPr>
        <w:t>十、强化金融赋能。</w:t>
      </w:r>
      <w:r>
        <w:rPr>
          <w:rFonts w:hint="eastAsia" w:ascii="仿宋_GB2312" w:hAnsi="仿宋_GB2312" w:eastAsia="仿宋_GB2312" w:cs="仿宋_GB2312"/>
          <w:b w:val="0"/>
          <w:bCs w:val="0"/>
          <w:color w:val="auto"/>
          <w:kern w:val="0"/>
          <w:sz w:val="32"/>
          <w:szCs w:val="32"/>
          <w:highlight w:val="none"/>
          <w:lang w:val="en-US" w:eastAsia="zh-CN" w:bidi="ar-SA"/>
        </w:rPr>
        <w:t>发挥武汉基金、江城基金引导作用，吸引国家、省投资基金和社会资本，形成数智经济千亿基金投资生态。</w:t>
      </w:r>
      <w:r>
        <w:rPr>
          <w:rFonts w:hint="eastAsia" w:ascii="楷体_GB2312" w:hAnsi="楷体_GB2312" w:eastAsia="楷体_GB2312" w:cs="楷体_GB2312"/>
          <w:color w:val="auto"/>
          <w:sz w:val="32"/>
          <w:szCs w:val="32"/>
          <w:highlight w:val="none"/>
          <w:lang w:val="en-US" w:eastAsia="zh-CN"/>
        </w:rPr>
        <w:t>（责任单位：市财政局，武汉投控集团、武汉金控集团）</w:t>
      </w:r>
      <w:r>
        <w:rPr>
          <w:rFonts w:hint="eastAsia" w:ascii="仿宋_GB2312" w:hAnsi="仿宋_GB2312" w:eastAsia="仿宋_GB2312" w:cs="仿宋_GB2312"/>
          <w:b w:val="0"/>
          <w:bCs w:val="0"/>
          <w:color w:val="auto"/>
          <w:kern w:val="0"/>
          <w:sz w:val="32"/>
          <w:szCs w:val="32"/>
          <w:highlight w:val="none"/>
          <w:lang w:val="en-US" w:eastAsia="zh-CN" w:bidi="ar-SA"/>
        </w:rPr>
        <w:t>推动汉融通、一站直通、武创通、汉企通等平台互联互通，加强数据增信、信用评价、征信产品开发，提升数智中小企业融资可得性。将数智经济企业纳入科技型企业知识价值信用贷款和中小企业商业价值信用贷款风险补偿范围，单笔贷款最高1000万元，依规给予贷款本金损失最高80%的风险补偿。</w:t>
      </w:r>
      <w:r>
        <w:rPr>
          <w:rFonts w:hint="eastAsia" w:ascii="楷体_GB2312" w:hAnsi="楷体_GB2312" w:eastAsia="楷体_GB2312" w:cs="楷体_GB2312"/>
          <w:color w:val="auto"/>
          <w:sz w:val="32"/>
          <w:szCs w:val="32"/>
          <w:highlight w:val="none"/>
          <w:lang w:val="en-US" w:eastAsia="zh-CN"/>
        </w:rPr>
        <w:t>（责任单位：市委金融办，市财政局、市科创局、市经信局，武汉金控集团）</w:t>
      </w:r>
    </w:p>
    <w:p w14:paraId="081F5CC8">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kern w:val="0"/>
          <w:sz w:val="32"/>
          <w:szCs w:val="32"/>
          <w:highlight w:val="none"/>
          <w:lang w:val="en-US" w:eastAsia="zh-CN"/>
        </w:rPr>
        <w:t>本政策与本市其他政策冲突的，按照就高不重复的原则予以执行；涉及资金奖补支持的，由责任单位制定具体实施细则。本政策自2026年X月X日起施行，有效期至2028年X月X日。</w:t>
      </w:r>
    </w:p>
    <w:p w14:paraId="14ECF8B5"/>
    <w:sectPr>
      <w:footerReference r:id="rId3" w:type="default"/>
      <w:pgSz w:w="11906" w:h="16838"/>
      <w:pgMar w:top="2098" w:right="1474" w:bottom="1417" w:left="1587" w:header="851" w:footer="96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2000000000000000000"/>
    <w:charset w:val="86"/>
    <w:family w:val="auto"/>
    <w:pitch w:val="default"/>
    <w:sig w:usb0="00000000" w:usb1="00000000" w:usb2="00000012" w:usb3="00000000" w:csb0="00040001" w:csb1="00000000"/>
  </w:font>
  <w:font w:name="仿宋_GB2312">
    <w:altName w:val="微软雅黑"/>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微软雅黑"/>
    <w:panose1 w:val="00000000000000000000"/>
    <w:charset w:val="00"/>
    <w:family w:val="auto"/>
    <w:pitch w:val="default"/>
    <w:sig w:usb0="00000000" w:usb1="00000000" w:usb2="00000000" w:usb3="00000000" w:csb0="0000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17264B2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C8C1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95AB0">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795AB0">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A24A5"/>
    <w:rsid w:val="53F358BF"/>
    <w:rsid w:val="5FFE1DE7"/>
    <w:rsid w:val="64BD206F"/>
    <w:rsid w:val="6BFA24A5"/>
    <w:rsid w:val="9DF754CE"/>
    <w:rsid w:val="BAFF1FE6"/>
    <w:rsid w:val="D6EEAA1A"/>
    <w:rsid w:val="DBDDEF87"/>
    <w:rsid w:val="F67FF0FB"/>
    <w:rsid w:val="FD779285"/>
    <w:rsid w:val="FF7F3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First Indent 2"/>
    <w:basedOn w:val="4"/>
    <w:next w:val="7"/>
    <w:qFormat/>
    <w:uiPriority w:val="0"/>
    <w:pPr>
      <w:ind w:firstLine="420" w:firstLineChars="200"/>
    </w:pPr>
  </w:style>
  <w:style w:type="paragraph" w:styleId="4">
    <w:name w:val="Body Text Indent"/>
    <w:basedOn w:val="1"/>
    <w:next w:val="5"/>
    <w:qFormat/>
    <w:uiPriority w:val="0"/>
    <w:pPr>
      <w:spacing w:after="120" w:afterLines="0" w:afterAutospacing="0"/>
      <w:ind w:left="420" w:leftChars="200"/>
    </w:pPr>
  </w:style>
  <w:style w:type="paragraph" w:styleId="5">
    <w:name w:val="Normal Indent"/>
    <w:basedOn w:val="1"/>
    <w:next w:val="6"/>
    <w:qFormat/>
    <w:uiPriority w:val="0"/>
    <w:pPr>
      <w:ind w:firstLine="420"/>
    </w:pPr>
  </w:style>
  <w:style w:type="paragraph" w:styleId="6">
    <w:name w:val="toc 2"/>
    <w:basedOn w:val="1"/>
    <w:next w:val="1"/>
    <w:qFormat/>
    <w:uiPriority w:val="39"/>
    <w:pPr>
      <w:ind w:left="420" w:leftChars="200"/>
    </w:pPr>
    <w:rPr>
      <w:szCs w:val="22"/>
    </w:rPr>
  </w:style>
  <w:style w:type="paragraph" w:styleId="7">
    <w:name w:val="Block Text"/>
    <w:basedOn w:val="1"/>
    <w:unhideWhenUsed/>
    <w:qFormat/>
    <w:uiPriority w:val="0"/>
    <w:pPr>
      <w:autoSpaceDE w:val="0"/>
      <w:autoSpaceDN w:val="0"/>
      <w:adjustRightInd w:val="0"/>
      <w:snapToGrid w:val="0"/>
      <w:spacing w:line="480" w:lineRule="auto"/>
      <w:ind w:left="-189" w:leftChars="-90" w:firstLine="420" w:firstLineChars="200"/>
      <w:jc w:val="left"/>
    </w:pPr>
    <w:rPr>
      <w:rFonts w:ascii="宋体" w:hAnsi="宋体"/>
      <w:bCs/>
      <w:szCs w:val="24"/>
    </w:rPr>
  </w:style>
  <w:style w:type="paragraph" w:styleId="8">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3294</Words>
  <Characters>3411</Characters>
  <Lines>0</Lines>
  <Paragraphs>0</Paragraphs>
  <TotalTime>5</TotalTime>
  <ScaleCrop>false</ScaleCrop>
  <LinksUpToDate>false</LinksUpToDate>
  <CharactersWithSpaces>3477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2026-04-14T16:48:00Z</dcterms:created>
  <dc:creator>雷淑芳</dc:creator>
  <cp:lastModifiedBy>陈辰</cp:lastModifiedBy>
  <dcterms:modified xsi:type="dcterms:W3CDTF">2026-04-14T02:29:20Z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F69CBE219EF74DF3A9A42DC07EA042B9_13</vt:lpwstr>
  </property>
  <property fmtid="{D5CDD505-2E9C-101B-9397-08002B2CF9AE}" pid="4" name="KSOTemplateDocerSaveRecord">
    <vt:lpwstr>eyJoZGlkIjoiNDVhNmIzNDE4ZTg4NjU4ZGU2OTcwMDkyMWZlMGI0YzEiLCJ1c2VySWQiOiIxNjA3MzM0ODYwIn0=</vt:lpwstr>
  </property>
</Properties>
</file>